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Calibri" w:hAnsi="Calibri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52"/>
          <w:szCs w:val="52"/>
          <w:u w:val="none"/>
          <w:shd w:fill="auto" w:val="clear"/>
          <w:em w:val="none"/>
          <w:lang w:val="it-IT"/>
        </w:rPr>
        <w:t>- antenne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kern w:val="2"/>
          <w:sz w:val="22"/>
          <w:szCs w:val="24"/>
          <w:shd w:fill="auto" w:val="clear"/>
          <w:lang w:val="it-IT" w:eastAsia="zh-CN" w:bidi="hi-IN"/>
        </w:rPr>
        <w:t>è stata presa visione della informativa riguardante il trattamento dei dati personali  ai sensi dell’art. 13 GDPR 2016/679, 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9"/>
        <w:gridCol w:w="1380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9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0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1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3825" cy="123825"/>
                      <wp:effectExtent l="5715" t="5080" r="4445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715" distR="4445" simplePos="0" locked="0" layoutInCell="1" allowOverlap="1" relativeHeight="12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3825" cy="123825"/>
                      <wp:effectExtent l="5715" t="5080" r="4445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pt;height:9.7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2"/>
        <w:gridCol w:w="7969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Arial" w:hAnsi="Arial" w:cs="Calibri"/>
                <w:b/>
                <w:b/>
                <w:bCs/>
                <w:i/>
                <w:i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  <w:lang w:val="it-IT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>.1</w:t>
            </w:r>
            <w:r>
              <w:rPr>
                <w:rFonts w:eastAsia="NSimSun"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it-IT" w:eastAsia="zh-CN" w:bidi="hi-IN"/>
              </w:rPr>
              <w:t>2</w:t>
            </w:r>
            <w:r>
              <w:rPr>
                <w:rFonts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 xml:space="preserve"> - Posa di nuove antenne di telefonia mobile su edifici esistenti o in aree già dedicate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comporta l’istallazione di nuovi tralicci a terra o nuovi basamenti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il cantiere non comporta la realizzazione di nuove piste di accesso o manutenzione straordinaria di esistenti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le eventuali aree di deposito e di servizio possono essere realizzate su piazzali o in aree già fruite a tale scopo o comunque prive di vegetazione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l’edificio non presenta colonie di chirotteri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635" distB="0" distL="114935" distR="113030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3825" cy="123825"/>
                      <wp:effectExtent l="5715" t="5715" r="4445" b="4445"/>
                      <wp:wrapThrough wrapText="right">
                        <wp:wrapPolygon edited="0">
                          <wp:start x="-55" y="21545"/>
                          <wp:lineTo x="-55" y="-55"/>
                          <wp:lineTo x="21545" y="-55"/>
                          <wp:lineTo x="21545" y="21545"/>
                          <wp:lineTo x="-55" y="21545"/>
                        </wp:wrapPolygon>
                      </wp:wrapThrough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40" cy="12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pt;height:9.7pt;mso-wrap-style:none;v-text-anchor:middle">
                      <v:fill o:detectmouseclick="t" type="solid" color2="black"/>
                      <v:stroke color="black" weight="9360" joinstyle="round" endcap="square"/>
                      <w10:wrap type="square" side="righ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 w:val="false"/>
                <w:b w:val="false"/>
                <w:bCs w:val="false"/>
                <w:i/>
                <w:i/>
              </w:rPr>
            </w:pPr>
            <w:r>
              <w:rPr>
                <w:rFonts w:cs="Calibri" w:ascii="Calibri" w:hAnsi="Calibri"/>
                <w:b w:val="false"/>
                <w:bCs w:val="false"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bidi w:val="0"/>
              <w:spacing w:lineRule="auto" w:line="276" w:before="57" w:after="57"/>
              <w:jc w:val="both"/>
              <w:rPr>
                <w:rFonts w:ascii="Arial" w:hAnsi="Arial" w:cs="Calibri"/>
                <w:b/>
                <w:b/>
                <w:bCs/>
                <w:i/>
                <w:i/>
                <w:strike w:val="false"/>
                <w:dstrike w:val="false"/>
                <w:outline w:val="false"/>
                <w:shadow w:val="false"/>
                <w:color w:val="auto"/>
                <w:sz w:val="22"/>
                <w:szCs w:val="22"/>
                <w:u w:val="none"/>
                <w:em w:val="none"/>
                <w:lang w:val="it-IT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>.1</w:t>
            </w:r>
            <w:r>
              <w:rPr>
                <w:rFonts w:eastAsia="NSimSun"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shd w:fill="auto" w:val="clear"/>
                <w:em w:val="none"/>
                <w:lang w:val="it-IT" w:eastAsia="zh-CN" w:bidi="hi-IN"/>
              </w:rPr>
              <w:t>3</w:t>
            </w:r>
            <w:r>
              <w:rPr>
                <w:rFonts w:cs="Calibri" w:ascii="Calibri" w:hAnsi="Calibri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shd w:fill="auto" w:val="clear"/>
                <w:em w:val="none"/>
                <w:lang w:val="it-IT"/>
              </w:rPr>
              <w:t xml:space="preserve"> -  </w:t>
            </w:r>
            <w:r>
              <w:rPr>
                <w:rFonts w:cs="Calibri" w:ascii="Arial" w:hAnsi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Realizzazione di opere temporanee per attività di ricerca nel sottosuolo che abbiano carattere geognostico, ad esclusione di attività di ricerca di idrocarburi, nonché i carotaggi e le opere temporanee per le analisi geologiche e geotecniche richieste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57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Calibri" w:hAnsi="Calibri"/>
                <w:b/>
                <w:bCs/>
                <w:i/>
              </w:rPr>
              <w:t>IN QUALE DOCUMENTO O IN CHE MODO è RISCONTRABILE LA CORRISPONDENZA A QUANTO PREVALUTATO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il cantiere non comporta la realizzazione di nuove piste di accesso o la manutenzione straordinaria di esistenti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le eventuali aree di deposito e di servizio possono essere realizzate su piazzali o in aree già fruite a tale scopo o prive di vegetazione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comporta il taglio di nuclei di alberi/boschetti o alberi isolati aventi diametro maggiore di 30 cm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l'approvvigionamento idrico necessario non comporti attingimenti in loco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comporta lavori di perforazione dal 1° aprile al 15 giugno fino a 1000 metri di quota, dal 1° maggio al 15 luglio per quote superiore e nel caso delle garzaie dal 1 febbraio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vengono rispettate le</w:t>
            </w: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</w:rPr>
              <w:t xml:space="preserve"> “Linee guida per la gestione e controllo delle specie esotiche vegetali - nell’ambito di cantieri con movimenti terra e interventi di recupero e ripristino ambientale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11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b/>
                <w:bCs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76" w:before="57" w:after="57"/>
              <w:jc w:val="both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2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fals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fals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fals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fals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364</TotalTime>
  <Application>LibreOffice/7.3.0.3$Windows_x86 LibreOffice_project/0f246aa12d0eee4a0f7adcefbf7c878fc2238db3</Application>
  <AppVersion>15.0000</AppVersion>
  <Pages>8</Pages>
  <Words>1030</Words>
  <Characters>8104</Characters>
  <CharactersWithSpaces>9555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dc:language>it-IT</dc:language>
  <cp:lastModifiedBy/>
  <cp:lastPrinted>2020-01-10T11:04:00Z</cp:lastPrinted>
  <dcterms:modified xsi:type="dcterms:W3CDTF">2024-07-02T12:11:39Z</dcterms:modified>
  <cp:revision>72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